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191E" w14:textId="77777777" w:rsidR="00595934" w:rsidRDefault="003421B6">
      <w:pPr>
        <w:spacing w:line="360" w:lineRule="auto"/>
        <w:jc w:val="center"/>
        <w:rPr>
          <w:rFonts w:ascii="宋体" w:eastAsia="宋体" w:hAnsi="宋体"/>
          <w:b/>
          <w:bCs/>
          <w:sz w:val="28"/>
          <w:szCs w:val="32"/>
        </w:rPr>
      </w:pPr>
      <w:r>
        <w:rPr>
          <w:rFonts w:ascii="宋体" w:eastAsia="宋体" w:hAnsi="宋体" w:hint="eastAsia"/>
          <w:b/>
          <w:bCs/>
          <w:sz w:val="28"/>
          <w:szCs w:val="32"/>
        </w:rPr>
        <w:t>《交大法律评论》</w:t>
      </w:r>
      <w:r w:rsidR="005A7022">
        <w:rPr>
          <w:rFonts w:ascii="宋体" w:eastAsia="宋体" w:hAnsi="宋体" w:hint="eastAsia"/>
          <w:b/>
          <w:bCs/>
          <w:sz w:val="28"/>
          <w:szCs w:val="32"/>
        </w:rPr>
        <w:t>征稿启事</w:t>
      </w:r>
    </w:p>
    <w:p w14:paraId="212C7289" w14:textId="77777777" w:rsidR="00595934" w:rsidRDefault="003421B6">
      <w:pPr>
        <w:pStyle w:val="a3"/>
        <w:numPr>
          <w:ilvl w:val="0"/>
          <w:numId w:val="1"/>
        </w:numPr>
        <w:spacing w:line="360" w:lineRule="auto"/>
        <w:ind w:firstLineChars="0"/>
        <w:rPr>
          <w:rFonts w:ascii="宋体" w:eastAsia="宋体" w:hAnsi="宋体"/>
          <w:sz w:val="24"/>
          <w:szCs w:val="28"/>
        </w:rPr>
      </w:pPr>
      <w:r>
        <w:rPr>
          <w:rFonts w:ascii="宋体" w:eastAsia="宋体" w:hAnsi="宋体" w:hint="eastAsia"/>
          <w:sz w:val="24"/>
          <w:szCs w:val="28"/>
        </w:rPr>
        <w:t>刊物介绍</w:t>
      </w:r>
    </w:p>
    <w:p w14:paraId="4132B50E" w14:textId="2F74722B" w:rsidR="00595934" w:rsidRDefault="003421B6">
      <w:pPr>
        <w:spacing w:line="360" w:lineRule="auto"/>
        <w:ind w:firstLineChars="200" w:firstLine="480"/>
        <w:rPr>
          <w:rFonts w:ascii="宋体" w:eastAsia="宋体" w:hAnsi="宋体"/>
          <w:sz w:val="24"/>
          <w:szCs w:val="28"/>
        </w:rPr>
      </w:pPr>
      <w:r>
        <w:rPr>
          <w:rFonts w:ascii="宋体" w:eastAsia="宋体" w:hAnsi="宋体" w:hint="eastAsia"/>
          <w:sz w:val="24"/>
          <w:szCs w:val="28"/>
        </w:rPr>
        <w:t>《交大法律评论》是在北京交通大学</w:t>
      </w:r>
      <w:r w:rsidR="006C5FE1">
        <w:rPr>
          <w:rFonts w:ascii="宋体" w:eastAsia="宋体" w:hAnsi="宋体" w:hint="eastAsia"/>
          <w:sz w:val="24"/>
          <w:szCs w:val="28"/>
        </w:rPr>
        <w:t>人文社会科学处和</w:t>
      </w:r>
      <w:r>
        <w:rPr>
          <w:rFonts w:ascii="宋体" w:eastAsia="宋体" w:hAnsi="宋体" w:hint="eastAsia"/>
          <w:sz w:val="24"/>
          <w:szCs w:val="28"/>
        </w:rPr>
        <w:t>法学院支持下创办的，由法学院老师指导，学生独立组</w:t>
      </w:r>
      <w:r w:rsidR="00B264EF">
        <w:rPr>
          <w:rFonts w:ascii="宋体" w:eastAsia="宋体" w:hAnsi="宋体" w:hint="eastAsia"/>
          <w:sz w:val="24"/>
          <w:szCs w:val="28"/>
        </w:rPr>
        <w:t>稿</w:t>
      </w:r>
      <w:r>
        <w:rPr>
          <w:rFonts w:ascii="宋体" w:eastAsia="宋体" w:hAnsi="宋体" w:hint="eastAsia"/>
          <w:sz w:val="24"/>
          <w:szCs w:val="28"/>
        </w:rPr>
        <w:t>与审</w:t>
      </w:r>
      <w:r w:rsidR="00B264EF">
        <w:rPr>
          <w:rFonts w:ascii="宋体" w:eastAsia="宋体" w:hAnsi="宋体" w:hint="eastAsia"/>
          <w:sz w:val="24"/>
          <w:szCs w:val="28"/>
        </w:rPr>
        <w:t>读</w:t>
      </w:r>
      <w:r>
        <w:rPr>
          <w:rFonts w:ascii="宋体" w:eastAsia="宋体" w:hAnsi="宋体" w:hint="eastAsia"/>
          <w:sz w:val="24"/>
          <w:szCs w:val="28"/>
        </w:rPr>
        <w:t>编</w:t>
      </w:r>
      <w:r w:rsidR="00B264EF">
        <w:rPr>
          <w:rFonts w:ascii="宋体" w:eastAsia="宋体" w:hAnsi="宋体" w:hint="eastAsia"/>
          <w:sz w:val="24"/>
          <w:szCs w:val="28"/>
        </w:rPr>
        <w:t>校</w:t>
      </w:r>
      <w:r>
        <w:rPr>
          <w:rFonts w:ascii="宋体" w:eastAsia="宋体" w:hAnsi="宋体" w:hint="eastAsia"/>
          <w:sz w:val="24"/>
          <w:szCs w:val="28"/>
        </w:rPr>
        <w:t>的法学学术刊物。刊物以“修法明德，弘毅济世”为宗旨，坚持高水准学术要求，恪守学术自律原则，仅刊登学生作品，为法学学子搭建良好的交流展示平台。本刊为半年刊，每年</w:t>
      </w:r>
      <w:r w:rsidR="005A7022">
        <w:rPr>
          <w:rFonts w:ascii="宋体" w:eastAsia="宋体" w:hAnsi="宋体"/>
          <w:sz w:val="24"/>
          <w:szCs w:val="28"/>
        </w:rPr>
        <w:t>6</w:t>
      </w:r>
      <w:r>
        <w:rPr>
          <w:rFonts w:ascii="宋体" w:eastAsia="宋体" w:hAnsi="宋体"/>
          <w:sz w:val="24"/>
          <w:szCs w:val="28"/>
        </w:rPr>
        <w:t>月和</w:t>
      </w:r>
      <w:r w:rsidR="005A7022">
        <w:rPr>
          <w:rFonts w:ascii="宋体" w:eastAsia="宋体" w:hAnsi="宋体"/>
          <w:sz w:val="24"/>
          <w:szCs w:val="28"/>
        </w:rPr>
        <w:t>12</w:t>
      </w:r>
      <w:r>
        <w:rPr>
          <w:rFonts w:ascii="宋体" w:eastAsia="宋体" w:hAnsi="宋体"/>
          <w:sz w:val="24"/>
          <w:szCs w:val="28"/>
        </w:rPr>
        <w:t>月出刊。</w:t>
      </w:r>
      <w:r>
        <w:rPr>
          <w:rFonts w:ascii="宋体" w:eastAsia="宋体" w:hAnsi="宋体" w:hint="eastAsia"/>
          <w:sz w:val="24"/>
          <w:szCs w:val="28"/>
        </w:rPr>
        <w:t>现将征稿相关事项说明如下。</w:t>
      </w:r>
    </w:p>
    <w:p w14:paraId="5158B845" w14:textId="77777777" w:rsidR="00595934" w:rsidRDefault="00595934">
      <w:pPr>
        <w:spacing w:line="360" w:lineRule="auto"/>
        <w:ind w:firstLineChars="200" w:firstLine="480"/>
        <w:rPr>
          <w:rFonts w:ascii="宋体" w:eastAsia="宋体" w:hAnsi="宋体"/>
          <w:sz w:val="24"/>
          <w:szCs w:val="28"/>
        </w:rPr>
      </w:pPr>
    </w:p>
    <w:p w14:paraId="53A21545" w14:textId="77777777" w:rsidR="00595934" w:rsidRDefault="003421B6">
      <w:pPr>
        <w:pStyle w:val="a3"/>
        <w:numPr>
          <w:ilvl w:val="0"/>
          <w:numId w:val="1"/>
        </w:numPr>
        <w:spacing w:line="360" w:lineRule="auto"/>
        <w:ind w:firstLineChars="0"/>
        <w:rPr>
          <w:rFonts w:ascii="宋体" w:eastAsia="宋体" w:hAnsi="宋体"/>
          <w:sz w:val="24"/>
          <w:szCs w:val="28"/>
        </w:rPr>
      </w:pPr>
      <w:r>
        <w:rPr>
          <w:rFonts w:ascii="宋体" w:eastAsia="宋体" w:hAnsi="宋体" w:hint="eastAsia"/>
          <w:sz w:val="24"/>
          <w:szCs w:val="28"/>
        </w:rPr>
        <w:t>征稿内容</w:t>
      </w:r>
    </w:p>
    <w:p w14:paraId="0C16C89E" w14:textId="4802A72D" w:rsidR="00595934" w:rsidRDefault="003421B6">
      <w:pPr>
        <w:spacing w:line="360" w:lineRule="auto"/>
        <w:ind w:firstLineChars="200" w:firstLine="480"/>
        <w:rPr>
          <w:rFonts w:ascii="宋体" w:eastAsia="宋体" w:hAnsi="宋体"/>
          <w:sz w:val="24"/>
          <w:szCs w:val="28"/>
        </w:rPr>
      </w:pPr>
      <w:r>
        <w:rPr>
          <w:rFonts w:ascii="宋体" w:eastAsia="宋体" w:hAnsi="宋体" w:hint="eastAsia"/>
          <w:sz w:val="24"/>
          <w:szCs w:val="28"/>
        </w:rPr>
        <w:t>基本栏目设置有“专题研讨”</w:t>
      </w:r>
      <w:r w:rsidR="00D5766C">
        <w:rPr>
          <w:rFonts w:ascii="宋体" w:eastAsia="宋体" w:hAnsi="宋体" w:hint="eastAsia"/>
          <w:sz w:val="24"/>
          <w:szCs w:val="28"/>
        </w:rPr>
        <w:t>“学位论文”</w:t>
      </w:r>
      <w:r>
        <w:rPr>
          <w:rFonts w:ascii="宋体" w:eastAsia="宋体" w:hAnsi="宋体" w:hint="eastAsia"/>
          <w:sz w:val="24"/>
          <w:szCs w:val="28"/>
        </w:rPr>
        <w:t>“案例探究”“学术书评”“经典译文”等。</w:t>
      </w:r>
    </w:p>
    <w:p w14:paraId="611B12FD" w14:textId="5072B079" w:rsidR="00595934" w:rsidRDefault="003421B6">
      <w:pPr>
        <w:pStyle w:val="a3"/>
        <w:numPr>
          <w:ilvl w:val="0"/>
          <w:numId w:val="2"/>
        </w:numPr>
        <w:spacing w:line="360" w:lineRule="auto"/>
        <w:ind w:firstLine="480"/>
        <w:rPr>
          <w:rFonts w:ascii="宋体" w:eastAsia="宋体" w:hAnsi="宋体"/>
          <w:sz w:val="24"/>
          <w:szCs w:val="28"/>
        </w:rPr>
      </w:pPr>
      <w:r>
        <w:rPr>
          <w:rFonts w:ascii="宋体" w:eastAsia="宋体" w:hAnsi="宋体" w:hint="eastAsia"/>
          <w:sz w:val="24"/>
          <w:szCs w:val="28"/>
        </w:rPr>
        <w:t>专题研讨：聚焦法学各部门法的前沿热点问题，对其中的疑难争议</w:t>
      </w:r>
      <w:r w:rsidR="005A7022">
        <w:rPr>
          <w:rFonts w:ascii="宋体" w:eastAsia="宋体" w:hAnsi="宋体" w:hint="eastAsia"/>
          <w:sz w:val="24"/>
          <w:szCs w:val="28"/>
        </w:rPr>
        <w:t>问题</w:t>
      </w:r>
      <w:r>
        <w:rPr>
          <w:rFonts w:ascii="宋体" w:eastAsia="宋体" w:hAnsi="宋体" w:hint="eastAsia"/>
          <w:sz w:val="24"/>
          <w:szCs w:val="28"/>
        </w:rPr>
        <w:t>进行研讨论证</w:t>
      </w:r>
      <w:r w:rsidR="00D5766C">
        <w:rPr>
          <w:rFonts w:ascii="宋体" w:eastAsia="宋体" w:hAnsi="宋体" w:hint="eastAsia"/>
          <w:sz w:val="24"/>
          <w:szCs w:val="28"/>
        </w:rPr>
        <w:t>；</w:t>
      </w:r>
    </w:p>
    <w:p w14:paraId="70B54A88" w14:textId="7C87D714" w:rsidR="00D5766C" w:rsidRDefault="00D5766C">
      <w:pPr>
        <w:pStyle w:val="a3"/>
        <w:numPr>
          <w:ilvl w:val="0"/>
          <w:numId w:val="2"/>
        </w:numPr>
        <w:spacing w:line="360" w:lineRule="auto"/>
        <w:ind w:firstLine="480"/>
        <w:rPr>
          <w:rFonts w:ascii="宋体" w:eastAsia="宋体" w:hAnsi="宋体"/>
          <w:sz w:val="24"/>
          <w:szCs w:val="28"/>
        </w:rPr>
      </w:pPr>
      <w:r>
        <w:rPr>
          <w:rFonts w:ascii="宋体" w:eastAsia="宋体" w:hAnsi="宋体" w:hint="eastAsia"/>
          <w:sz w:val="24"/>
          <w:szCs w:val="28"/>
        </w:rPr>
        <w:t>学位论文：</w:t>
      </w:r>
      <w:r w:rsidRPr="00D5766C">
        <w:rPr>
          <w:rFonts w:ascii="宋体" w:eastAsia="宋体" w:hAnsi="宋体" w:hint="eastAsia"/>
          <w:sz w:val="24"/>
          <w:szCs w:val="28"/>
        </w:rPr>
        <w:t>欢迎全国各高等院校、科研机构的优秀</w:t>
      </w:r>
      <w:r>
        <w:rPr>
          <w:rFonts w:ascii="宋体" w:eastAsia="宋体" w:hAnsi="宋体" w:hint="eastAsia"/>
          <w:sz w:val="24"/>
          <w:szCs w:val="28"/>
        </w:rPr>
        <w:t>本科和</w:t>
      </w:r>
      <w:r w:rsidRPr="00D5766C">
        <w:rPr>
          <w:rFonts w:ascii="宋体" w:eastAsia="宋体" w:hAnsi="宋体" w:hint="eastAsia"/>
          <w:sz w:val="24"/>
          <w:szCs w:val="28"/>
        </w:rPr>
        <w:t>硕士学位论文投稿</w:t>
      </w:r>
      <w:r>
        <w:rPr>
          <w:rFonts w:ascii="宋体" w:eastAsia="宋体" w:hAnsi="宋体" w:hint="eastAsia"/>
          <w:sz w:val="24"/>
          <w:szCs w:val="28"/>
        </w:rPr>
        <w:t>，</w:t>
      </w:r>
      <w:r w:rsidRPr="00D5766C">
        <w:rPr>
          <w:rFonts w:ascii="宋体" w:eastAsia="宋体" w:hAnsi="宋体" w:hint="eastAsia"/>
          <w:sz w:val="24"/>
          <w:szCs w:val="28"/>
        </w:rPr>
        <w:t>投稿时请附上论文指导老师约</w:t>
      </w:r>
      <w:r w:rsidRPr="00D5766C">
        <w:rPr>
          <w:rFonts w:ascii="宋体" w:eastAsia="宋体" w:hAnsi="宋体"/>
          <w:sz w:val="24"/>
          <w:szCs w:val="28"/>
        </w:rPr>
        <w:t xml:space="preserve"> 500 字左右的推荐理由。</w:t>
      </w:r>
    </w:p>
    <w:p w14:paraId="66B45996" w14:textId="28D439AC" w:rsidR="00595934" w:rsidRDefault="003421B6">
      <w:pPr>
        <w:pStyle w:val="a3"/>
        <w:numPr>
          <w:ilvl w:val="0"/>
          <w:numId w:val="2"/>
        </w:numPr>
        <w:spacing w:line="360" w:lineRule="auto"/>
        <w:ind w:firstLine="480"/>
        <w:rPr>
          <w:rFonts w:ascii="宋体" w:eastAsia="宋体" w:hAnsi="宋体"/>
          <w:sz w:val="24"/>
          <w:szCs w:val="28"/>
        </w:rPr>
      </w:pPr>
      <w:r>
        <w:rPr>
          <w:rFonts w:ascii="宋体" w:eastAsia="宋体" w:hAnsi="宋体" w:hint="eastAsia"/>
          <w:sz w:val="24"/>
          <w:szCs w:val="28"/>
        </w:rPr>
        <w:t>案例探究：着眼司法实践，关注实际问题的解决，对司法实务中的经典案例进行法律评析；</w:t>
      </w:r>
    </w:p>
    <w:p w14:paraId="2FDDBBFD" w14:textId="3B229A0E" w:rsidR="00595934" w:rsidRDefault="003421B6">
      <w:pPr>
        <w:pStyle w:val="a3"/>
        <w:numPr>
          <w:ilvl w:val="0"/>
          <w:numId w:val="2"/>
        </w:numPr>
        <w:spacing w:line="360" w:lineRule="auto"/>
        <w:ind w:firstLine="480"/>
        <w:rPr>
          <w:rFonts w:ascii="宋体" w:eastAsia="宋体" w:hAnsi="宋体"/>
          <w:sz w:val="24"/>
          <w:szCs w:val="28"/>
        </w:rPr>
      </w:pPr>
      <w:r>
        <w:rPr>
          <w:rFonts w:ascii="宋体" w:eastAsia="宋体" w:hAnsi="宋体" w:hint="eastAsia"/>
          <w:sz w:val="24"/>
          <w:szCs w:val="28"/>
        </w:rPr>
        <w:t>学术书评：所评书籍为法学经典著作，来稿不能只是对书籍内容的简单概括，需体现作者</w:t>
      </w:r>
      <w:r w:rsidR="00C14C0F">
        <w:rPr>
          <w:rFonts w:ascii="宋体" w:eastAsia="宋体" w:hAnsi="宋体" w:hint="eastAsia"/>
          <w:sz w:val="24"/>
          <w:szCs w:val="28"/>
        </w:rPr>
        <w:t>独到</w:t>
      </w:r>
      <w:r>
        <w:rPr>
          <w:rFonts w:ascii="宋体" w:eastAsia="宋体" w:hAnsi="宋体" w:hint="eastAsia"/>
          <w:sz w:val="24"/>
          <w:szCs w:val="28"/>
        </w:rPr>
        <w:t>的见解，对书中学术问题进行延伸讨论与评价</w:t>
      </w:r>
      <w:r w:rsidR="005A7022">
        <w:rPr>
          <w:rFonts w:ascii="宋体" w:eastAsia="宋体" w:hAnsi="宋体" w:hint="eastAsia"/>
          <w:sz w:val="24"/>
          <w:szCs w:val="28"/>
        </w:rPr>
        <w:t>；</w:t>
      </w:r>
    </w:p>
    <w:p w14:paraId="6881B359" w14:textId="272F7BE3" w:rsidR="00595934" w:rsidRDefault="003421B6">
      <w:pPr>
        <w:pStyle w:val="a3"/>
        <w:numPr>
          <w:ilvl w:val="0"/>
          <w:numId w:val="2"/>
        </w:numPr>
        <w:spacing w:line="360" w:lineRule="auto"/>
        <w:ind w:firstLine="480"/>
        <w:rPr>
          <w:rFonts w:ascii="宋体" w:eastAsia="宋体" w:hAnsi="宋体"/>
          <w:sz w:val="24"/>
          <w:szCs w:val="28"/>
        </w:rPr>
      </w:pPr>
      <w:r>
        <w:rPr>
          <w:rFonts w:ascii="宋体" w:eastAsia="宋体" w:hAnsi="宋体" w:hint="eastAsia"/>
          <w:sz w:val="24"/>
          <w:szCs w:val="28"/>
        </w:rPr>
        <w:t>经典译文：着眼域外经典著作和经典判例，所翻译的内容须对我国法学理论研究有重要</w:t>
      </w:r>
      <w:r w:rsidR="00B264EF">
        <w:rPr>
          <w:rFonts w:ascii="宋体" w:eastAsia="宋体" w:hAnsi="宋体" w:hint="eastAsia"/>
          <w:sz w:val="24"/>
          <w:szCs w:val="28"/>
        </w:rPr>
        <w:t>的参考</w:t>
      </w:r>
      <w:r>
        <w:rPr>
          <w:rFonts w:ascii="宋体" w:eastAsia="宋体" w:hAnsi="宋体" w:hint="eastAsia"/>
          <w:sz w:val="24"/>
          <w:szCs w:val="28"/>
        </w:rPr>
        <w:t>价值。</w:t>
      </w:r>
    </w:p>
    <w:p w14:paraId="52CA4063" w14:textId="77777777" w:rsidR="00595934" w:rsidRDefault="00595934">
      <w:pPr>
        <w:spacing w:line="360" w:lineRule="auto"/>
        <w:rPr>
          <w:rFonts w:ascii="宋体" w:eastAsia="宋体" w:hAnsi="宋体"/>
          <w:sz w:val="24"/>
          <w:szCs w:val="28"/>
        </w:rPr>
      </w:pPr>
    </w:p>
    <w:p w14:paraId="3414F4C0" w14:textId="77777777" w:rsidR="00595934" w:rsidRDefault="003421B6">
      <w:pPr>
        <w:pStyle w:val="a3"/>
        <w:numPr>
          <w:ilvl w:val="0"/>
          <w:numId w:val="1"/>
        </w:numPr>
        <w:spacing w:line="360" w:lineRule="auto"/>
        <w:ind w:firstLineChars="0"/>
        <w:rPr>
          <w:rFonts w:ascii="宋体" w:eastAsia="宋体" w:hAnsi="宋体"/>
          <w:sz w:val="24"/>
          <w:szCs w:val="28"/>
        </w:rPr>
      </w:pPr>
      <w:r>
        <w:rPr>
          <w:rFonts w:ascii="宋体" w:eastAsia="宋体" w:hAnsi="宋体" w:hint="eastAsia"/>
          <w:sz w:val="24"/>
          <w:szCs w:val="28"/>
        </w:rPr>
        <w:t>稿件要求</w:t>
      </w:r>
    </w:p>
    <w:p w14:paraId="22FE3AF9" w14:textId="77777777"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一）本刊倡导严谨治学，来稿须符合学术规范，兼具原创性、创新性和学术性，非原创观点必须按照规范标注来源，一旦发现套改、抄袭等违反学术规范行为，将取消录用资格。稿件题材、体裁不限，学术论文、案例评析、法条评注、书评、译文等均在接收之列。欢迎探索前沿问题、富有真知灼见、追求学术创新、论证充分且彰显法律人情怀的研究成果。</w:t>
      </w:r>
    </w:p>
    <w:p w14:paraId="0E293867" w14:textId="77777777"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（二）来稿篇幅原则上不得少于</w:t>
      </w:r>
      <w:r w:rsidR="005A7022">
        <w:rPr>
          <w:rFonts w:ascii="宋体" w:eastAsia="宋体" w:hAnsi="宋体"/>
          <w:sz w:val="24"/>
          <w:szCs w:val="28"/>
        </w:rPr>
        <w:t>10</w:t>
      </w:r>
      <w:r>
        <w:rPr>
          <w:rFonts w:ascii="宋体" w:eastAsia="宋体" w:hAnsi="宋体" w:hint="eastAsia"/>
          <w:sz w:val="24"/>
          <w:szCs w:val="28"/>
        </w:rPr>
        <w:t>000字，论文类稿件以1</w:t>
      </w:r>
      <w:r w:rsidR="005A7022">
        <w:rPr>
          <w:rFonts w:ascii="宋体" w:eastAsia="宋体" w:hAnsi="宋体"/>
          <w:sz w:val="24"/>
          <w:szCs w:val="28"/>
        </w:rPr>
        <w:t>5</w:t>
      </w:r>
      <w:r>
        <w:rPr>
          <w:rFonts w:ascii="宋体" w:eastAsia="宋体" w:hAnsi="宋体" w:hint="eastAsia"/>
          <w:sz w:val="24"/>
          <w:szCs w:val="28"/>
        </w:rPr>
        <w:t>000字</w:t>
      </w:r>
      <w:r w:rsidR="005A7022">
        <w:rPr>
          <w:rFonts w:ascii="宋体" w:eastAsia="宋体" w:hAnsi="宋体" w:hint="eastAsia"/>
          <w:sz w:val="24"/>
          <w:szCs w:val="28"/>
        </w:rPr>
        <w:t>左右</w:t>
      </w:r>
      <w:r>
        <w:rPr>
          <w:rFonts w:ascii="宋体" w:eastAsia="宋体" w:hAnsi="宋体" w:hint="eastAsia"/>
          <w:sz w:val="24"/>
          <w:szCs w:val="28"/>
        </w:rPr>
        <w:t>为</w:t>
      </w:r>
      <w:r>
        <w:rPr>
          <w:rFonts w:ascii="宋体" w:eastAsia="宋体" w:hAnsi="宋体" w:hint="eastAsia"/>
          <w:sz w:val="24"/>
          <w:szCs w:val="28"/>
        </w:rPr>
        <w:lastRenderedPageBreak/>
        <w:t>宜，书评类稿件以</w:t>
      </w:r>
      <w:r w:rsidR="005A7022">
        <w:rPr>
          <w:rFonts w:ascii="宋体" w:eastAsia="宋体" w:hAnsi="宋体"/>
          <w:sz w:val="24"/>
          <w:szCs w:val="28"/>
        </w:rPr>
        <w:t>12000</w:t>
      </w:r>
      <w:r>
        <w:rPr>
          <w:rFonts w:ascii="宋体" w:eastAsia="宋体" w:hAnsi="宋体" w:hint="eastAsia"/>
          <w:sz w:val="24"/>
          <w:szCs w:val="28"/>
        </w:rPr>
        <w:t>字为宜，案例分析类稿件法律分析部分不得少于</w:t>
      </w:r>
      <w:r w:rsidR="005A7022">
        <w:rPr>
          <w:rFonts w:ascii="宋体" w:eastAsia="宋体" w:hAnsi="宋体"/>
          <w:sz w:val="24"/>
          <w:szCs w:val="28"/>
        </w:rPr>
        <w:t>8</w:t>
      </w:r>
      <w:r>
        <w:rPr>
          <w:rFonts w:ascii="宋体" w:eastAsia="宋体" w:hAnsi="宋体" w:hint="eastAsia"/>
          <w:sz w:val="24"/>
          <w:szCs w:val="28"/>
        </w:rPr>
        <w:t>000字，特别优秀的稿件不受</w:t>
      </w:r>
      <w:r w:rsidR="005A7022">
        <w:rPr>
          <w:rFonts w:ascii="宋体" w:eastAsia="宋体" w:hAnsi="宋体" w:hint="eastAsia"/>
          <w:sz w:val="24"/>
          <w:szCs w:val="28"/>
        </w:rPr>
        <w:t>上述</w:t>
      </w:r>
      <w:r>
        <w:rPr>
          <w:rFonts w:ascii="宋体" w:eastAsia="宋体" w:hAnsi="宋体" w:hint="eastAsia"/>
          <w:sz w:val="24"/>
          <w:szCs w:val="28"/>
        </w:rPr>
        <w:t>字数限制。如来稿是译文，须一并发送原文及原文作者的授权证明，因译者侵犯原作者权利引发纠纷，本编辑部不承担与此相关的任何责任。</w:t>
      </w:r>
    </w:p>
    <w:p w14:paraId="5E658801" w14:textId="77777777"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三）来稿请以word文档通过附件形式发送至邮箱：BJTUJDflpl@163.com，邮件标题和稿件文件名统一命名为“交大法评投稿+作者姓名+稿件题目”，邮件正文请注明作者本人相关信息（含姓名、学校、学院、专业、联系方式、邮件地址等）。</w:t>
      </w:r>
    </w:p>
    <w:p w14:paraId="781F7E3A" w14:textId="6EAC430E"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（四）本刊引注体例采用《法学引注手册》，为提高编审质量及效率，请投稿者务必严格遵守，具体内容见</w:t>
      </w:r>
      <w:r w:rsidR="005013DF" w:rsidRPr="005013DF">
        <w:rPr>
          <w:rFonts w:ascii="宋体" w:eastAsia="宋体" w:hAnsi="宋体" w:hint="eastAsia"/>
          <w:sz w:val="24"/>
          <w:szCs w:val="28"/>
        </w:rPr>
        <w:t>《</w:t>
      </w:r>
      <w:r w:rsidR="005013DF">
        <w:rPr>
          <w:rFonts w:ascii="宋体" w:eastAsia="宋体" w:hAnsi="宋体" w:hint="eastAsia"/>
          <w:sz w:val="24"/>
          <w:szCs w:val="28"/>
        </w:rPr>
        <w:t>&lt;</w:t>
      </w:r>
      <w:r w:rsidR="005013DF" w:rsidRPr="005013DF">
        <w:rPr>
          <w:rFonts w:ascii="宋体" w:eastAsia="宋体" w:hAnsi="宋体" w:hint="eastAsia"/>
          <w:sz w:val="24"/>
          <w:szCs w:val="28"/>
        </w:rPr>
        <w:t>交大法律评论</w:t>
      </w:r>
      <w:r w:rsidR="005013DF">
        <w:rPr>
          <w:rFonts w:ascii="宋体" w:eastAsia="宋体" w:hAnsi="宋体" w:hint="eastAsia"/>
          <w:sz w:val="24"/>
          <w:szCs w:val="28"/>
        </w:rPr>
        <w:t>&gt;</w:t>
      </w:r>
      <w:r w:rsidR="005013DF" w:rsidRPr="005013DF">
        <w:rPr>
          <w:rFonts w:ascii="宋体" w:eastAsia="宋体" w:hAnsi="宋体" w:hint="eastAsia"/>
          <w:sz w:val="24"/>
          <w:szCs w:val="28"/>
        </w:rPr>
        <w:t>注释体例</w:t>
      </w:r>
      <w:r w:rsidR="005013DF">
        <w:rPr>
          <w:rFonts w:ascii="宋体" w:eastAsia="宋体" w:hAnsi="宋体" w:hint="eastAsia"/>
          <w:sz w:val="24"/>
          <w:szCs w:val="28"/>
        </w:rPr>
        <w:t>&gt;》</w:t>
      </w:r>
      <w:r>
        <w:rPr>
          <w:rFonts w:ascii="宋体" w:eastAsia="宋体" w:hAnsi="宋体" w:hint="eastAsia"/>
          <w:sz w:val="24"/>
          <w:szCs w:val="28"/>
        </w:rPr>
        <w:t>。</w:t>
      </w:r>
    </w:p>
    <w:p w14:paraId="6B3A7E8A" w14:textId="77777777" w:rsidR="00595934" w:rsidRDefault="00595934">
      <w:pPr>
        <w:spacing w:line="360" w:lineRule="auto"/>
        <w:ind w:firstLineChars="200" w:firstLine="480"/>
        <w:rPr>
          <w:rFonts w:ascii="宋体" w:eastAsia="宋体" w:hAnsi="宋体"/>
          <w:sz w:val="24"/>
          <w:szCs w:val="28"/>
        </w:rPr>
      </w:pPr>
    </w:p>
    <w:p w14:paraId="3E155D8F" w14:textId="0DBF3F13" w:rsidR="00595934" w:rsidRPr="006E19C3" w:rsidRDefault="006E19C3" w:rsidP="006E19C3">
      <w:pPr>
        <w:spacing w:line="360" w:lineRule="auto"/>
        <w:rPr>
          <w:rFonts w:ascii="宋体" w:eastAsia="宋体" w:hAnsi="宋体"/>
          <w:sz w:val="24"/>
          <w:szCs w:val="28"/>
        </w:rPr>
      </w:pPr>
      <w:r>
        <w:rPr>
          <w:rFonts w:ascii="宋体" w:eastAsia="宋体" w:hAnsi="宋体" w:hint="eastAsia"/>
          <w:sz w:val="24"/>
          <w:szCs w:val="28"/>
        </w:rPr>
        <w:t>四、</w:t>
      </w:r>
      <w:r w:rsidR="003421B6" w:rsidRPr="006E19C3">
        <w:rPr>
          <w:rFonts w:ascii="宋体" w:eastAsia="宋体" w:hAnsi="宋体" w:hint="eastAsia"/>
          <w:sz w:val="24"/>
          <w:szCs w:val="28"/>
        </w:rPr>
        <w:t>其他事项</w:t>
      </w:r>
    </w:p>
    <w:p w14:paraId="54B3004E" w14:textId="77777777"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一）本刊实行三审制，由编辑部编辑进行初审，无论是否录用，均会提出书面审查意见和修改建议。作者可对初审意见进行理性回应，在作者进行修改、达到初审通过要求后，指导委员会各专业老师进行二审，最终由指导委员会老师集体负责三审，并决定论文采用。编辑部收到稿件起两个月内向作者通报审录结果。</w:t>
      </w:r>
    </w:p>
    <w:p w14:paraId="721F8381" w14:textId="214CAE6B"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（二）本刊提倡一稿专投，反对</w:t>
      </w:r>
      <w:r w:rsidR="00B264EF">
        <w:rPr>
          <w:rFonts w:ascii="宋体" w:eastAsia="宋体" w:hAnsi="宋体" w:hint="eastAsia"/>
          <w:sz w:val="24"/>
          <w:szCs w:val="28"/>
        </w:rPr>
        <w:t>做出</w:t>
      </w:r>
      <w:r>
        <w:rPr>
          <w:rFonts w:ascii="宋体" w:eastAsia="宋体" w:hAnsi="宋体" w:hint="eastAsia"/>
          <w:sz w:val="24"/>
          <w:szCs w:val="28"/>
        </w:rPr>
        <w:t>专投承诺后任何形式的撤稿行为。本刊编辑部在尊重作者意见的前提下保留对稿件进行文字性和技术性修改、删节的权利，如不同意，请在来稿时声明。稿件文责自负，本刊所载文章仅代表作者个人观点。</w:t>
      </w:r>
    </w:p>
    <w:p w14:paraId="3E04DD88" w14:textId="77777777"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三）本刊不以任何形式向投稿者收取审稿费、版面费等费用，也未授权任何机构和个人代理投稿事宜，所有与投稿相关事宜请直接与本刊编辑部联系。本刊目前不向作者支付稿酬，但稿件一经采用，将向作者发送录用通知，并寄送样刊2册。</w:t>
      </w:r>
    </w:p>
    <w:p w14:paraId="5BB37303" w14:textId="4CAD83D8"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（四）为扩大本刊及作者</w:t>
      </w:r>
      <w:r w:rsidR="00B264EF">
        <w:rPr>
          <w:rFonts w:ascii="宋体" w:eastAsia="宋体" w:hAnsi="宋体" w:hint="eastAsia"/>
          <w:sz w:val="24"/>
          <w:szCs w:val="28"/>
        </w:rPr>
        <w:t>学术</w:t>
      </w:r>
      <w:r>
        <w:rPr>
          <w:rFonts w:ascii="宋体" w:eastAsia="宋体" w:hAnsi="宋体" w:hint="eastAsia"/>
          <w:sz w:val="24"/>
          <w:szCs w:val="28"/>
        </w:rPr>
        <w:t>交流渠道，除作者在来稿时声明保留</w:t>
      </w:r>
      <w:r w:rsidR="00B264EF">
        <w:rPr>
          <w:rFonts w:ascii="宋体" w:eastAsia="宋体" w:hAnsi="宋体" w:hint="eastAsia"/>
          <w:sz w:val="24"/>
          <w:szCs w:val="28"/>
        </w:rPr>
        <w:t>外</w:t>
      </w:r>
      <w:r>
        <w:rPr>
          <w:rFonts w:ascii="宋体" w:eastAsia="宋体" w:hAnsi="宋体" w:hint="eastAsia"/>
          <w:sz w:val="24"/>
          <w:szCs w:val="28"/>
        </w:rPr>
        <w:t>，</w:t>
      </w:r>
      <w:r w:rsidR="00B264EF">
        <w:rPr>
          <w:rFonts w:ascii="宋体" w:eastAsia="宋体" w:hAnsi="宋体" w:hint="eastAsia"/>
          <w:sz w:val="24"/>
          <w:szCs w:val="28"/>
        </w:rPr>
        <w:t>本刊对所有刊发的稿件</w:t>
      </w:r>
      <w:r>
        <w:rPr>
          <w:rFonts w:ascii="宋体" w:eastAsia="宋体" w:hAnsi="宋体" w:hint="eastAsia"/>
          <w:sz w:val="24"/>
          <w:szCs w:val="28"/>
        </w:rPr>
        <w:t>拥有以非专有方式向第三人授权已刊作品电子出版权、信息网络传播权和数字化汇编、复制权。</w:t>
      </w:r>
    </w:p>
    <w:p w14:paraId="0E50144F" w14:textId="77777777" w:rsidR="00595934" w:rsidRDefault="003421B6">
      <w:pPr>
        <w:pStyle w:val="a3"/>
        <w:spacing w:line="360" w:lineRule="auto"/>
        <w:ind w:firstLine="480"/>
        <w:rPr>
          <w:rFonts w:ascii="宋体" w:eastAsia="宋体" w:hAnsi="宋体"/>
          <w:sz w:val="24"/>
          <w:szCs w:val="28"/>
        </w:rPr>
      </w:pPr>
      <w:r>
        <w:rPr>
          <w:rFonts w:ascii="宋体" w:eastAsia="宋体" w:hAnsi="宋体" w:hint="eastAsia"/>
          <w:sz w:val="24"/>
          <w:szCs w:val="28"/>
        </w:rPr>
        <w:t>（五）任何来稿视为已知悉《交大法律评论》的征稿条件并同意上述声明。</w:t>
      </w:r>
      <w:r>
        <w:rPr>
          <w:rFonts w:ascii="宋体" w:eastAsia="宋体" w:hAnsi="宋体" w:hint="eastAsia"/>
          <w:sz w:val="24"/>
          <w:szCs w:val="28"/>
        </w:rPr>
        <w:lastRenderedPageBreak/>
        <w:t>本刊在法律允许的范围内保留对上述内容进行解释、补充的权利。</w:t>
      </w:r>
    </w:p>
    <w:sectPr w:rsidR="00595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9CA1" w14:textId="77777777" w:rsidR="00AC66FE" w:rsidRDefault="00AC66FE" w:rsidP="005A7022">
      <w:r>
        <w:separator/>
      </w:r>
    </w:p>
  </w:endnote>
  <w:endnote w:type="continuationSeparator" w:id="0">
    <w:p w14:paraId="40373274" w14:textId="77777777" w:rsidR="00AC66FE" w:rsidRDefault="00AC66FE" w:rsidP="005A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7729" w14:textId="77777777" w:rsidR="00AC66FE" w:rsidRDefault="00AC66FE" w:rsidP="005A7022">
      <w:r>
        <w:separator/>
      </w:r>
    </w:p>
  </w:footnote>
  <w:footnote w:type="continuationSeparator" w:id="0">
    <w:p w14:paraId="65AA8395" w14:textId="77777777" w:rsidR="00AC66FE" w:rsidRDefault="00AC66FE" w:rsidP="005A7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F765A5"/>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7D45D52"/>
    <w:multiLevelType w:val="singleLevel"/>
    <w:tmpl w:val="E14419C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34"/>
    <w:rsid w:val="0021202C"/>
    <w:rsid w:val="003421B6"/>
    <w:rsid w:val="003E6A7E"/>
    <w:rsid w:val="004E7C2C"/>
    <w:rsid w:val="005013DF"/>
    <w:rsid w:val="00595934"/>
    <w:rsid w:val="005A0EF7"/>
    <w:rsid w:val="005A7022"/>
    <w:rsid w:val="006C5FE1"/>
    <w:rsid w:val="006E19C3"/>
    <w:rsid w:val="00AC66FE"/>
    <w:rsid w:val="00B264EF"/>
    <w:rsid w:val="00BC070E"/>
    <w:rsid w:val="00C14C0F"/>
    <w:rsid w:val="00D5766C"/>
    <w:rsid w:val="00EE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F983E"/>
  <w15:docId w15:val="{9FD2A70D-091B-4DE7-BCBD-656DBDBD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5A70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A7022"/>
    <w:rPr>
      <w:kern w:val="2"/>
      <w:sz w:val="18"/>
      <w:szCs w:val="18"/>
    </w:rPr>
  </w:style>
  <w:style w:type="paragraph" w:styleId="a6">
    <w:name w:val="footer"/>
    <w:basedOn w:val="a"/>
    <w:link w:val="a7"/>
    <w:uiPriority w:val="99"/>
    <w:unhideWhenUsed/>
    <w:rsid w:val="005A7022"/>
    <w:pPr>
      <w:tabs>
        <w:tab w:val="center" w:pos="4153"/>
        <w:tab w:val="right" w:pos="8306"/>
      </w:tabs>
      <w:snapToGrid w:val="0"/>
      <w:jc w:val="left"/>
    </w:pPr>
    <w:rPr>
      <w:sz w:val="18"/>
      <w:szCs w:val="18"/>
    </w:rPr>
  </w:style>
  <w:style w:type="character" w:customStyle="1" w:styleId="a7">
    <w:name w:val="页脚 字符"/>
    <w:basedOn w:val="a0"/>
    <w:link w:val="a6"/>
    <w:uiPriority w:val="99"/>
    <w:rsid w:val="005A70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璟珊 贺</dc:creator>
  <cp:lastModifiedBy>彭 彭</cp:lastModifiedBy>
  <cp:revision>29</cp:revision>
  <dcterms:created xsi:type="dcterms:W3CDTF">2023-11-02T07:48:00Z</dcterms:created>
  <dcterms:modified xsi:type="dcterms:W3CDTF">2023-11-13T02:54:00Z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39bd747032834d7c8f8f3e21e4d1bd29_23</vt:lpwstr>
  </property>
</Properties>
</file>